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BD" w:rsidRDefault="00A406E7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="00426DBD">
        <w:rPr>
          <w:b/>
          <w:bCs/>
          <w:sz w:val="28"/>
        </w:rPr>
        <w:t>АДМИНИСТРАЦИЯ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FC2ADC">
        <w:rPr>
          <w:sz w:val="28"/>
          <w:szCs w:val="28"/>
          <w:u w:val="single"/>
        </w:rPr>
        <w:t>13.07</w:t>
      </w:r>
      <w:r>
        <w:rPr>
          <w:sz w:val="28"/>
          <w:szCs w:val="28"/>
          <w:u w:val="single"/>
        </w:rPr>
        <w:t>.201</w:t>
      </w:r>
      <w:r w:rsidR="00A406E7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r>
        <w:t xml:space="preserve">  </w:t>
      </w:r>
      <w:r w:rsidR="00FC2ADC">
        <w:rPr>
          <w:sz w:val="28"/>
          <w:szCs w:val="28"/>
          <w:u w:val="single"/>
        </w:rPr>
        <w:t>72</w:t>
      </w:r>
      <w:r>
        <w:rPr>
          <w:sz w:val="28"/>
          <w:szCs w:val="28"/>
          <w:u w:val="single"/>
        </w:rPr>
        <w:t>– п</w:t>
      </w:r>
    </w:p>
    <w:p w:rsidR="00426DBD" w:rsidRDefault="00426DBD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426DBD" w:rsidRDefault="004A27B6" w:rsidP="00426DBD">
      <w:pPr>
        <w:ind w:right="283"/>
        <w:jc w:val="both"/>
        <w:rPr>
          <w:b/>
          <w:sz w:val="16"/>
          <w:szCs w:val="16"/>
        </w:rPr>
      </w:pPr>
      <w:r w:rsidRPr="004A27B6">
        <w:pict>
          <v:line id="_x0000_s1028" style="position:absolute;left:0;text-align:left;z-index:251662336" from="268.2pt,8.85pt" to="268.2pt,26.85pt"/>
        </w:pict>
      </w:r>
      <w:r w:rsidRPr="004A27B6">
        <w:pict>
          <v:line id="_x0000_s1029" style="position:absolute;left:0;text-align:left;flip:x;z-index:251663360" from="250.2pt,8.85pt" to="268.2pt,8.85pt"/>
        </w:pict>
      </w:r>
      <w:r w:rsidRPr="004A27B6">
        <w:pict>
          <v:line id="_x0000_s1026" style="position:absolute;left:0;text-align:left;z-index:251660288" from="-9.05pt,8.85pt" to="-9.05pt,26.85pt"/>
        </w:pict>
      </w:r>
      <w:r w:rsidRPr="004A27B6">
        <w:pict>
          <v:line id="_x0000_s1027" style="position:absolute;left:0;text-align:left;z-index:251661312" from="-9.05pt,8.85pt" to="8.95pt,8.85pt"/>
        </w:pict>
      </w:r>
    </w:p>
    <w:p w:rsidR="00426DBD" w:rsidRPr="00981032" w:rsidRDefault="00426DBD" w:rsidP="00FC2ADC">
      <w:pPr>
        <w:tabs>
          <w:tab w:val="left" w:pos="5245"/>
        </w:tabs>
        <w:ind w:right="4110"/>
        <w:jc w:val="both"/>
        <w:rPr>
          <w:sz w:val="28"/>
          <w:szCs w:val="28"/>
        </w:rPr>
      </w:pPr>
      <w:r w:rsidRPr="00981032">
        <w:rPr>
          <w:sz w:val="28"/>
          <w:szCs w:val="28"/>
        </w:rPr>
        <w:t>«</w:t>
      </w:r>
      <w:r w:rsidR="00FC2ADC" w:rsidRPr="00905663">
        <w:rPr>
          <w:bCs/>
          <w:kern w:val="28"/>
          <w:sz w:val="28"/>
          <w:szCs w:val="24"/>
        </w:rPr>
        <w:t xml:space="preserve">О внесении изменений в постановление администрации </w:t>
      </w:r>
      <w:r w:rsidR="00FC2ADC">
        <w:rPr>
          <w:bCs/>
          <w:kern w:val="28"/>
          <w:sz w:val="28"/>
          <w:szCs w:val="24"/>
        </w:rPr>
        <w:t xml:space="preserve">Калининского </w:t>
      </w:r>
      <w:r w:rsidR="00FC2ADC" w:rsidRPr="00905663">
        <w:rPr>
          <w:bCs/>
          <w:kern w:val="28"/>
          <w:sz w:val="28"/>
          <w:szCs w:val="24"/>
        </w:rPr>
        <w:t>сельсовета от</w:t>
      </w:r>
      <w:r w:rsidR="00FC2ADC">
        <w:rPr>
          <w:bCs/>
          <w:kern w:val="28"/>
          <w:sz w:val="28"/>
          <w:szCs w:val="24"/>
        </w:rPr>
        <w:t xml:space="preserve"> 25.02.2014</w:t>
      </w:r>
      <w:r w:rsidR="00FC2ADC" w:rsidRPr="00905663">
        <w:rPr>
          <w:bCs/>
          <w:kern w:val="28"/>
          <w:sz w:val="28"/>
          <w:szCs w:val="24"/>
        </w:rPr>
        <w:t xml:space="preserve"> №</w:t>
      </w:r>
      <w:r w:rsidR="00FC2ADC">
        <w:rPr>
          <w:bCs/>
          <w:kern w:val="28"/>
          <w:sz w:val="28"/>
          <w:szCs w:val="24"/>
        </w:rPr>
        <w:t>14-</w:t>
      </w:r>
      <w:r w:rsidR="00FC2ADC" w:rsidRPr="00905663">
        <w:rPr>
          <w:bCs/>
          <w:kern w:val="28"/>
          <w:sz w:val="28"/>
          <w:szCs w:val="24"/>
        </w:rPr>
        <w:t xml:space="preserve">п «Об утверждении схем водоснабжения на территории </w:t>
      </w:r>
      <w:r w:rsidR="00FC2ADC">
        <w:rPr>
          <w:bCs/>
          <w:kern w:val="28"/>
          <w:sz w:val="28"/>
          <w:szCs w:val="24"/>
        </w:rPr>
        <w:t>муниципального образования Калининский сельсовет Ташлинского района Оренбургской области</w:t>
      </w:r>
      <w:r w:rsidR="00FC2ADC" w:rsidRPr="00905663">
        <w:rPr>
          <w:bCs/>
          <w:kern w:val="28"/>
          <w:sz w:val="28"/>
          <w:szCs w:val="24"/>
        </w:rPr>
        <w:t>»</w:t>
      </w:r>
      <w:r w:rsidRPr="00981032">
        <w:rPr>
          <w:sz w:val="28"/>
          <w:szCs w:val="28"/>
        </w:rPr>
        <w:t xml:space="preserve">» </w:t>
      </w:r>
    </w:p>
    <w:p w:rsidR="00426DBD" w:rsidRPr="00981032" w:rsidRDefault="00426DBD" w:rsidP="00981032">
      <w:pPr>
        <w:jc w:val="both"/>
        <w:rPr>
          <w:sz w:val="28"/>
          <w:szCs w:val="28"/>
        </w:rPr>
      </w:pPr>
    </w:p>
    <w:p w:rsidR="00FC2ADC" w:rsidRPr="00905663" w:rsidRDefault="00FC2ADC" w:rsidP="00FC2ADC">
      <w:pPr>
        <w:tabs>
          <w:tab w:val="left" w:pos="3352"/>
        </w:tabs>
        <w:ind w:firstLine="709"/>
        <w:jc w:val="both"/>
        <w:rPr>
          <w:sz w:val="28"/>
          <w:szCs w:val="24"/>
        </w:rPr>
      </w:pPr>
      <w:r w:rsidRPr="00905663">
        <w:rPr>
          <w:sz w:val="28"/>
          <w:szCs w:val="24"/>
        </w:rPr>
        <w:t>В соответствии  с постановлением Правительства РФ от 05..16.2013 № 782 «О схемах водоснабжения и водоотведения» с целью приведения в соответствии с действующим законодательством Российской Федерации:</w:t>
      </w:r>
    </w:p>
    <w:p w:rsidR="00FC2ADC" w:rsidRPr="00905663" w:rsidRDefault="00FC2ADC" w:rsidP="00FC2ADC">
      <w:pPr>
        <w:tabs>
          <w:tab w:val="left" w:pos="3352"/>
        </w:tabs>
        <w:ind w:firstLine="709"/>
        <w:jc w:val="both"/>
        <w:rPr>
          <w:sz w:val="28"/>
          <w:szCs w:val="24"/>
        </w:rPr>
      </w:pPr>
      <w:r w:rsidRPr="00905663">
        <w:rPr>
          <w:sz w:val="28"/>
          <w:szCs w:val="24"/>
        </w:rPr>
        <w:t xml:space="preserve">1. Пункт 5 «Проектные предложения» в приложении № 1 к постановлению администрации муниципального образования сельсовет от </w:t>
      </w:r>
      <w:r>
        <w:rPr>
          <w:sz w:val="28"/>
          <w:szCs w:val="24"/>
        </w:rPr>
        <w:t>25.02.2014</w:t>
      </w:r>
      <w:r w:rsidRPr="00905663">
        <w:rPr>
          <w:sz w:val="28"/>
          <w:szCs w:val="24"/>
        </w:rPr>
        <w:t xml:space="preserve">№ </w:t>
      </w:r>
      <w:r>
        <w:rPr>
          <w:sz w:val="28"/>
          <w:szCs w:val="24"/>
        </w:rPr>
        <w:t>14-</w:t>
      </w:r>
      <w:r w:rsidRPr="00905663">
        <w:rPr>
          <w:sz w:val="28"/>
          <w:szCs w:val="24"/>
        </w:rPr>
        <w:t>п «</w:t>
      </w:r>
      <w:r w:rsidRPr="00905663">
        <w:rPr>
          <w:bCs/>
          <w:kern w:val="28"/>
          <w:sz w:val="28"/>
          <w:szCs w:val="24"/>
        </w:rPr>
        <w:t xml:space="preserve">Об утверждении схем водоснабжения на территории </w:t>
      </w:r>
      <w:r>
        <w:rPr>
          <w:bCs/>
          <w:kern w:val="28"/>
          <w:sz w:val="28"/>
          <w:szCs w:val="24"/>
        </w:rPr>
        <w:t>муниципального образования Калининский сельсовета Ташлинского района Оренбургской области</w:t>
      </w:r>
      <w:r w:rsidRPr="00905663">
        <w:rPr>
          <w:sz w:val="28"/>
          <w:szCs w:val="24"/>
        </w:rPr>
        <w:t>» изложить в новой редакции:</w:t>
      </w:r>
    </w:p>
    <w:p w:rsidR="00FC2ADC" w:rsidRPr="00905663" w:rsidRDefault="00FC2ADC" w:rsidP="00FC2ADC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</w:p>
    <w:p w:rsidR="00FC2ADC" w:rsidRPr="00905663" w:rsidRDefault="00FC2ADC" w:rsidP="00FC2ADC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 w:rsidRPr="00905663">
        <w:rPr>
          <w:sz w:val="28"/>
        </w:rPr>
        <w:t xml:space="preserve">Для развития системы водоснабжения муниципального образования  </w:t>
      </w:r>
      <w:r>
        <w:rPr>
          <w:sz w:val="28"/>
        </w:rPr>
        <w:t>Калининский сельсовет</w:t>
      </w:r>
      <w:r w:rsidRPr="00905663">
        <w:rPr>
          <w:sz w:val="28"/>
        </w:rPr>
        <w:t xml:space="preserve">  необходимы следующие мероприятия: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 замена водонапорных башен.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 -  строительство новых магистральных кольцевых  водопроводных сетей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 - выделение целенаправленного финансирования на улучшение санитарно-технического состояния объектов водоснабжения (проведение планово-профилактических работ по замене водопроводных сетей, оздоровление и  благоустройство зон санитарной охраны источников водоснабжения);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строительство станций водоподготовки, в том числе обеззараживания, на водопроводах;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передать «бесхозные» водопроводы на баланс поссовета или служб ЖКХ;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вести перекладку изношенных сетей водопровода и строительство новых участков из современных материалов;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проводить мероприятия по поддержанию производительности действующих водозаборов и их развитию;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вести модернизацию сооружений водопровода с заменой морально устаревшего технологического оборудования;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>- строительство поливочных водопроводов с целью снижения использования подземных вод питьевого качества на полив садово-огородных культур;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lastRenderedPageBreak/>
        <w:t xml:space="preserve">- технико-экономическое состояние централизованных систем водоснабжения поселения, городского округа;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направления развития централизованных систем водоснабжения;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баланс водоснабжения и потребления горячей, питьевой, технической воды;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предложения по строительству, реконструкции и модернизации объектов централизованных систем водоснабжения;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экологические аспекты мероприятий по строительству, реконструкции и модернизации объектов централизованных систем водоснабжения;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оценка объемов капитальных вложений в строительство, реконструкцию и модернизацию объектов централизованных систем водоснабжения;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целевые показатели развития централизованных систем водоснабжения;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 xml:space="preserve">- плановые значения показателей развития централизованных систем водоснабжения; 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  <w:r w:rsidRPr="00905663">
        <w:rPr>
          <w:sz w:val="28"/>
        </w:rPr>
        <w:t>-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FC2ADC" w:rsidRPr="00905663" w:rsidRDefault="00FC2ADC" w:rsidP="00FC2ADC">
      <w:pPr>
        <w:pStyle w:val="ab"/>
        <w:spacing w:before="0" w:beforeAutospacing="0" w:after="0" w:afterAutospacing="0"/>
        <w:jc w:val="both"/>
        <w:rPr>
          <w:sz w:val="28"/>
        </w:rPr>
      </w:pPr>
    </w:p>
    <w:p w:rsidR="00FC2ADC" w:rsidRPr="00905663" w:rsidRDefault="00FC2ADC" w:rsidP="00FC2ADC">
      <w:pPr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  <w:r w:rsidRPr="00905663">
        <w:rPr>
          <w:sz w:val="28"/>
          <w:szCs w:val="24"/>
        </w:rPr>
        <w:t>2. Настоящее постановление  вступает в силу после официального опубликования (обнародования).</w:t>
      </w: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Pr="00905663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  <w:r w:rsidRPr="00905663">
        <w:rPr>
          <w:sz w:val="28"/>
          <w:szCs w:val="24"/>
        </w:rPr>
        <w:t>Глава администрации</w:t>
      </w:r>
      <w:r>
        <w:rPr>
          <w:sz w:val="28"/>
          <w:szCs w:val="24"/>
        </w:rPr>
        <w:t xml:space="preserve">                                                                     </w:t>
      </w:r>
      <w:r w:rsidRPr="00905663">
        <w:rPr>
          <w:sz w:val="28"/>
          <w:szCs w:val="24"/>
        </w:rPr>
        <w:t xml:space="preserve"> </w:t>
      </w:r>
      <w:r>
        <w:rPr>
          <w:sz w:val="28"/>
          <w:szCs w:val="24"/>
        </w:rPr>
        <w:t>Ю.Н.Малашин</w:t>
      </w:r>
      <w:r w:rsidRPr="00905663">
        <w:rPr>
          <w:sz w:val="28"/>
          <w:szCs w:val="24"/>
        </w:rPr>
        <w:t xml:space="preserve">                                                                      </w:t>
      </w: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Pr="00905663" w:rsidRDefault="00FC2ADC" w:rsidP="00FC2ADC">
      <w:pPr>
        <w:pStyle w:val="ad"/>
        <w:spacing w:after="0"/>
        <w:ind w:left="0"/>
        <w:jc w:val="both"/>
        <w:rPr>
          <w:sz w:val="28"/>
          <w:szCs w:val="24"/>
        </w:rPr>
      </w:pPr>
    </w:p>
    <w:p w:rsidR="00FC2ADC" w:rsidRPr="00905663" w:rsidRDefault="00FC2ADC" w:rsidP="00FC2ADC">
      <w:pPr>
        <w:pStyle w:val="ad"/>
        <w:tabs>
          <w:tab w:val="left" w:pos="0"/>
        </w:tabs>
        <w:spacing w:after="0"/>
        <w:ind w:left="0"/>
        <w:jc w:val="both"/>
        <w:rPr>
          <w:sz w:val="28"/>
          <w:szCs w:val="24"/>
        </w:rPr>
      </w:pPr>
      <w:r w:rsidRPr="00905663">
        <w:rPr>
          <w:sz w:val="28"/>
          <w:szCs w:val="24"/>
        </w:rPr>
        <w:t>Разослано: администрации района, прокурору района, в дело.</w:t>
      </w:r>
    </w:p>
    <w:p w:rsidR="00FC2ADC" w:rsidRPr="00905663" w:rsidRDefault="00FC2ADC" w:rsidP="00FC2ADC">
      <w:pPr>
        <w:jc w:val="center"/>
        <w:rPr>
          <w:sz w:val="28"/>
          <w:szCs w:val="24"/>
        </w:rPr>
      </w:pPr>
    </w:p>
    <w:p w:rsidR="00787913" w:rsidRPr="00734429" w:rsidRDefault="00A406E7" w:rsidP="00FC2ADC">
      <w:pPr>
        <w:ind w:left="4962"/>
        <w:jc w:val="right"/>
        <w:outlineLvl w:val="0"/>
      </w:pPr>
      <w:r>
        <w:rPr>
          <w:sz w:val="28"/>
          <w:szCs w:val="28"/>
        </w:rPr>
        <w:t xml:space="preserve">           </w:t>
      </w:r>
    </w:p>
    <w:p w:rsidR="006F2A3E" w:rsidRDefault="006F2A3E" w:rsidP="00426DBD">
      <w:pPr>
        <w:rPr>
          <w:sz w:val="24"/>
          <w:szCs w:val="24"/>
        </w:rPr>
      </w:pPr>
    </w:p>
    <w:sectPr w:rsidR="006F2A3E" w:rsidSect="00FC2A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E4" w:rsidRDefault="003D28E4" w:rsidP="003D28E4">
      <w:r>
        <w:separator/>
      </w:r>
    </w:p>
  </w:endnote>
  <w:endnote w:type="continuationSeparator" w:id="0">
    <w:p w:rsidR="003D28E4" w:rsidRDefault="003D28E4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E4" w:rsidRDefault="003D28E4" w:rsidP="003D28E4">
      <w:r>
        <w:separator/>
      </w:r>
    </w:p>
  </w:footnote>
  <w:footnote w:type="continuationSeparator" w:id="0">
    <w:p w:rsidR="003D28E4" w:rsidRDefault="003D28E4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BD"/>
    <w:rsid w:val="00065143"/>
    <w:rsid w:val="00103321"/>
    <w:rsid w:val="001244D3"/>
    <w:rsid w:val="00187D84"/>
    <w:rsid w:val="001A31AB"/>
    <w:rsid w:val="001D6634"/>
    <w:rsid w:val="0020051E"/>
    <w:rsid w:val="00234D3D"/>
    <w:rsid w:val="002A5AED"/>
    <w:rsid w:val="003D28E4"/>
    <w:rsid w:val="00426DBD"/>
    <w:rsid w:val="004818F0"/>
    <w:rsid w:val="004A1631"/>
    <w:rsid w:val="004A27B6"/>
    <w:rsid w:val="004F6FE7"/>
    <w:rsid w:val="00590350"/>
    <w:rsid w:val="005F01FB"/>
    <w:rsid w:val="006F0B78"/>
    <w:rsid w:val="006F2A3E"/>
    <w:rsid w:val="006F49F3"/>
    <w:rsid w:val="00711CB1"/>
    <w:rsid w:val="00787913"/>
    <w:rsid w:val="007E194B"/>
    <w:rsid w:val="008E4F2C"/>
    <w:rsid w:val="00932C09"/>
    <w:rsid w:val="00981032"/>
    <w:rsid w:val="009A0C40"/>
    <w:rsid w:val="00A3223C"/>
    <w:rsid w:val="00A406E7"/>
    <w:rsid w:val="00A84091"/>
    <w:rsid w:val="00B67EA0"/>
    <w:rsid w:val="00C9677B"/>
    <w:rsid w:val="00CC010A"/>
    <w:rsid w:val="00D712C2"/>
    <w:rsid w:val="00E1558A"/>
    <w:rsid w:val="00E54624"/>
    <w:rsid w:val="00EF4569"/>
    <w:rsid w:val="00F26DB2"/>
    <w:rsid w:val="00F62178"/>
    <w:rsid w:val="00F85288"/>
    <w:rsid w:val="00FC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3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98103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810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8791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rsid w:val="00787913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Body Text Indent"/>
    <w:basedOn w:val="a"/>
    <w:link w:val="ae"/>
    <w:uiPriority w:val="99"/>
    <w:semiHidden/>
    <w:unhideWhenUsed/>
    <w:rsid w:val="00FC2AD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C2A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4AD3-FD58-425A-9DD6-AC876FD4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2018-07-16T10:28:00Z</cp:lastPrinted>
  <dcterms:created xsi:type="dcterms:W3CDTF">2014-08-15T03:59:00Z</dcterms:created>
  <dcterms:modified xsi:type="dcterms:W3CDTF">2018-08-16T05:44:00Z</dcterms:modified>
</cp:coreProperties>
</file>