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7" w:rsidRDefault="007C3AA7" w:rsidP="004D1FEC">
      <w:pPr>
        <w:pStyle w:val="1"/>
        <w:rPr>
          <w:szCs w:val="28"/>
        </w:rPr>
      </w:pPr>
      <w:r>
        <w:rPr>
          <w:szCs w:val="28"/>
        </w:rPr>
        <w:t xml:space="preserve">  </w:t>
      </w:r>
      <w:r w:rsidR="009B3864">
        <w:rPr>
          <w:szCs w:val="28"/>
        </w:rPr>
        <w:t xml:space="preserve"> </w:t>
      </w:r>
      <w:r w:rsidR="00394DE7" w:rsidRPr="00394DE7">
        <w:rPr>
          <w:szCs w:val="28"/>
        </w:rPr>
        <w:t>СОВЕТ   ДЕПУТАТОВ</w:t>
      </w:r>
      <w:r w:rsidR="00394DE7">
        <w:rPr>
          <w:b w:val="0"/>
          <w:szCs w:val="28"/>
        </w:rPr>
        <w:tab/>
        <w:t xml:space="preserve">                                    </w:t>
      </w:r>
      <w:r w:rsidR="009B3864">
        <w:rPr>
          <w:b w:val="0"/>
          <w:szCs w:val="28"/>
        </w:rPr>
        <w:t xml:space="preserve">   </w:t>
      </w:r>
      <w:r w:rsidR="009B3864" w:rsidRPr="004D1FEC">
        <w:rPr>
          <w:szCs w:val="28"/>
        </w:rPr>
        <w:t xml:space="preserve">  </w:t>
      </w:r>
      <w:r w:rsidR="009B3864">
        <w:rPr>
          <w:b w:val="0"/>
          <w:szCs w:val="28"/>
        </w:rPr>
        <w:t xml:space="preserve"> </w:t>
      </w:r>
      <w:r w:rsidR="00394DE7">
        <w:rPr>
          <w:b w:val="0"/>
          <w:szCs w:val="28"/>
        </w:rPr>
        <w:t xml:space="preserve">  </w:t>
      </w:r>
      <w:r w:rsidR="00631C8A">
        <w:rPr>
          <w:szCs w:val="28"/>
        </w:rPr>
        <w:t xml:space="preserve"> </w:t>
      </w:r>
    </w:p>
    <w:p w:rsidR="00394DE7" w:rsidRDefault="00394DE7" w:rsidP="004D1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4DE7" w:rsidRDefault="00394DE7" w:rsidP="004D1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94DE7" w:rsidRDefault="00394DE7" w:rsidP="004D1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94DE7" w:rsidRDefault="00394DE7" w:rsidP="004D1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94DE7" w:rsidRDefault="00394DE7" w:rsidP="004D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6A01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94DE7" w:rsidRDefault="00394DE7" w:rsidP="004D1FEC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94DE7" w:rsidRDefault="00394DE7" w:rsidP="004D1FEC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160B1A" w:rsidRPr="005532E6">
        <w:rPr>
          <w:sz w:val="28"/>
          <w:szCs w:val="28"/>
          <w:u w:val="single"/>
        </w:rPr>
        <w:t>31.10.2016</w:t>
      </w:r>
      <w:r w:rsidR="00160B1A" w:rsidRPr="004D1FEC">
        <w:rPr>
          <w:sz w:val="28"/>
          <w:szCs w:val="28"/>
        </w:rPr>
        <w:t xml:space="preserve"> </w:t>
      </w:r>
      <w:r w:rsidR="00160B1A">
        <w:rPr>
          <w:sz w:val="28"/>
          <w:szCs w:val="28"/>
        </w:rPr>
        <w:t xml:space="preserve"> </w:t>
      </w:r>
      <w:r w:rsidR="00160B1A">
        <w:rPr>
          <w:b/>
          <w:sz w:val="28"/>
          <w:szCs w:val="28"/>
        </w:rPr>
        <w:t xml:space="preserve">№  </w:t>
      </w:r>
      <w:r w:rsidR="00160B1A" w:rsidRPr="005532E6">
        <w:rPr>
          <w:sz w:val="28"/>
          <w:szCs w:val="28"/>
          <w:u w:val="single"/>
        </w:rPr>
        <w:t>8/4</w:t>
      </w:r>
      <w:r w:rsidR="00160B1A">
        <w:rPr>
          <w:sz w:val="28"/>
          <w:szCs w:val="28"/>
          <w:u w:val="single"/>
        </w:rPr>
        <w:t>5</w:t>
      </w:r>
      <w:r w:rsidR="00160B1A" w:rsidRPr="005532E6">
        <w:rPr>
          <w:sz w:val="28"/>
          <w:szCs w:val="28"/>
          <w:u w:val="single"/>
        </w:rPr>
        <w:t>-рс</w:t>
      </w:r>
    </w:p>
    <w:p w:rsidR="00394DE7" w:rsidRDefault="00394DE7" w:rsidP="004D1F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9B3864" w:rsidRDefault="009B3864" w:rsidP="00394DE7">
      <w:pPr>
        <w:jc w:val="both"/>
      </w:pPr>
    </w:p>
    <w:p w:rsidR="004D1FEC" w:rsidRPr="004D1FEC" w:rsidRDefault="009D2520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="004D1FEC" w:rsidRPr="004D1FEC">
        <w:rPr>
          <w:b/>
          <w:sz w:val="28"/>
          <w:szCs w:val="28"/>
        </w:rPr>
        <w:t>«</w:t>
      </w:r>
      <w:r w:rsidR="00477992">
        <w:rPr>
          <w:sz w:val="28"/>
          <w:szCs w:val="28"/>
        </w:rPr>
        <w:t>О налоге на имущество физических лиц</w:t>
      </w:r>
      <w:r w:rsidR="004D1FEC" w:rsidRPr="004D1FEC">
        <w:rPr>
          <w:sz w:val="28"/>
          <w:szCs w:val="28"/>
        </w:rPr>
        <w:t>»</w:t>
      </w:r>
    </w:p>
    <w:p w:rsidR="00394DE7" w:rsidRDefault="00394DE7" w:rsidP="00026EDE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  <w:r w:rsidRPr="00265A0F">
        <w:rPr>
          <w:sz w:val="28"/>
          <w:szCs w:val="28"/>
        </w:rPr>
        <w:t xml:space="preserve">       </w:t>
      </w:r>
      <w:r w:rsidRPr="00522DE0">
        <w:rPr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>
        <w:rPr>
          <w:sz w:val="28"/>
          <w:szCs w:val="28"/>
        </w:rPr>
        <w:t>«</w:t>
      </w:r>
      <w:r w:rsidRPr="00522DE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22DE0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522DE0">
        <w:rPr>
          <w:sz w:val="28"/>
          <w:szCs w:val="28"/>
        </w:rPr>
        <w:t>аконом Оренбургской области  от 12.11.2015 № 3457/971-</w:t>
      </w:r>
      <w:r w:rsidRPr="00522DE0">
        <w:rPr>
          <w:sz w:val="28"/>
          <w:szCs w:val="28"/>
          <w:lang w:val="en-US"/>
        </w:rPr>
        <w:t>V</w:t>
      </w:r>
      <w:r w:rsidRPr="00522DE0">
        <w:rPr>
          <w:sz w:val="28"/>
          <w:szCs w:val="28"/>
        </w:rPr>
        <w:t>-</w:t>
      </w:r>
      <w:r w:rsidRPr="00522DE0">
        <w:rPr>
          <w:sz w:val="28"/>
          <w:szCs w:val="28"/>
          <w:lang w:val="en-US"/>
        </w:rPr>
        <w:t>O</w:t>
      </w:r>
      <w:r w:rsidRPr="00522DE0">
        <w:rPr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sz w:val="28"/>
          <w:szCs w:val="28"/>
        </w:rPr>
        <w:t xml:space="preserve"> руководствуясь Уставом муниципального образования Калининский сельсовет Ташлинского района Оренбургской области Совет депутатов муниципального образования Калининский сельсовет Ташлинского района Оренбургской области</w:t>
      </w:r>
    </w:p>
    <w:p w:rsidR="00477992" w:rsidRDefault="00477992" w:rsidP="00477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Pr="00477992">
        <w:rPr>
          <w:rFonts w:ascii="Times New Roman" w:hAnsi="Times New Roman" w:cs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налог на имущество физических 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4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477992" w:rsidRPr="00105A13" w:rsidRDefault="00477992" w:rsidP="00477992">
      <w:pPr>
        <w:pStyle w:val="a3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477992" w:rsidRPr="00105A13" w:rsidRDefault="00477992" w:rsidP="00477992">
      <w:pPr>
        <w:pStyle w:val="a3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77992" w:rsidRPr="00105A13" w:rsidRDefault="00477992" w:rsidP="00477992">
      <w:pPr>
        <w:pStyle w:val="a3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477992" w:rsidRPr="00105A13" w:rsidRDefault="00477992" w:rsidP="00477992">
      <w:pPr>
        <w:pStyle w:val="a3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гаражей и машино-мест;</w:t>
      </w:r>
    </w:p>
    <w:p w:rsidR="00477992" w:rsidRPr="00105A13" w:rsidRDefault="00477992" w:rsidP="00477992">
      <w:pPr>
        <w:pStyle w:val="a3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 w:rsidRPr="00105A13">
        <w:rPr>
          <w:sz w:val="28"/>
          <w:szCs w:val="28"/>
        </w:rPr>
        <w:lastRenderedPageBreak/>
        <w:t>подсобного, дачного хозяйства, огородничества, садоводства или индивидуального жилищного строительства;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2) </w:t>
      </w:r>
      <w:r w:rsidRPr="00105A13">
        <w:rPr>
          <w:rStyle w:val="a4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477992" w:rsidRPr="00105A13" w:rsidRDefault="00477992" w:rsidP="00477992">
      <w:pPr>
        <w:pStyle w:val="a3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r w:rsidRPr="00105A13">
        <w:rPr>
          <w:sz w:val="28"/>
          <w:szCs w:val="28"/>
        </w:rPr>
        <w:t>;</w:t>
      </w:r>
    </w:p>
    <w:p w:rsidR="00477992" w:rsidRPr="00105A13" w:rsidRDefault="00477992" w:rsidP="00477992">
      <w:pPr>
        <w:pStyle w:val="a3"/>
        <w:numPr>
          <w:ilvl w:val="0"/>
          <w:numId w:val="1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477992" w:rsidRPr="00BB6029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4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477992" w:rsidRDefault="00477992" w:rsidP="00477992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r w:rsidRPr="00477992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Pr="00B47378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Ташлинской общественно-политической газете «Маяк», а также на  официальном сайте администрации муниципального образования Ташлинский район </w:t>
      </w:r>
      <w:hyperlink r:id="rId6" w:history="1">
        <w:r w:rsidRPr="00794CD0">
          <w:rPr>
            <w:rStyle w:val="ab"/>
            <w:sz w:val="28"/>
            <w:szCs w:val="28"/>
            <w:lang w:val="en-US"/>
          </w:rPr>
          <w:t>www</w:t>
        </w:r>
        <w:r w:rsidRPr="00794CD0">
          <w:rPr>
            <w:rStyle w:val="ab"/>
            <w:sz w:val="28"/>
            <w:szCs w:val="28"/>
          </w:rPr>
          <w:t>.</w:t>
        </w:r>
        <w:r w:rsidRPr="00794CD0">
          <w:rPr>
            <w:rStyle w:val="ab"/>
            <w:sz w:val="28"/>
            <w:szCs w:val="28"/>
            <w:lang w:val="en-US"/>
          </w:rPr>
          <w:t>tl</w:t>
        </w:r>
        <w:r w:rsidRPr="00794CD0">
          <w:rPr>
            <w:rStyle w:val="ab"/>
            <w:sz w:val="28"/>
            <w:szCs w:val="28"/>
          </w:rPr>
          <w:t>.</w:t>
        </w:r>
        <w:r w:rsidRPr="00794CD0">
          <w:rPr>
            <w:rStyle w:val="ab"/>
            <w:sz w:val="28"/>
            <w:szCs w:val="28"/>
            <w:lang w:val="en-US"/>
          </w:rPr>
          <w:t>orb</w:t>
        </w:r>
        <w:r w:rsidRPr="00794CD0">
          <w:rPr>
            <w:rStyle w:val="ab"/>
            <w:sz w:val="28"/>
            <w:szCs w:val="28"/>
          </w:rPr>
          <w:t>.</w:t>
        </w:r>
        <w:r w:rsidRPr="00794CD0">
          <w:rPr>
            <w:rStyle w:val="ab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737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 w:rsidRPr="00477992">
        <w:rPr>
          <w:rFonts w:ascii="Times New Roman" w:hAnsi="Times New Roman" w:cs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477992" w:rsidRPr="00B47378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считать утратившим силу Решение Совета депутатов   муниципального образования </w:t>
      </w:r>
      <w:r w:rsidRPr="00477992">
        <w:rPr>
          <w:rFonts w:ascii="Times New Roman" w:hAnsi="Times New Roman" w:cs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F31A8D" w:rsidRPr="00F31A8D">
        <w:rPr>
          <w:rFonts w:ascii="Times New Roman" w:hAnsi="Times New Roman" w:cs="Times New Roman"/>
          <w:sz w:val="28"/>
          <w:szCs w:val="28"/>
        </w:rPr>
        <w:t>№25/103-рс от  14.11.2014  «Об установлении ставок налога    на имущество  физических лиц</w:t>
      </w:r>
      <w:r w:rsidR="00F31A8D">
        <w:rPr>
          <w:sz w:val="28"/>
          <w:szCs w:val="28"/>
        </w:rPr>
        <w:t>».</w:t>
      </w:r>
    </w:p>
    <w:p w:rsidR="00477992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8E6407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BE25FA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</w:t>
      </w:r>
      <w:r w:rsidR="00BE25FA">
        <w:rPr>
          <w:sz w:val="28"/>
          <w:szCs w:val="28"/>
        </w:rPr>
        <w:t xml:space="preserve"> Совета депутатов                                             Ю.Н.Малашин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F31A8D" w:rsidRDefault="00F31A8D" w:rsidP="00BE25FA">
      <w:pPr>
        <w:jc w:val="both"/>
        <w:rPr>
          <w:sz w:val="28"/>
          <w:szCs w:val="28"/>
        </w:rPr>
      </w:pPr>
    </w:p>
    <w:p w:rsidR="00F31A8D" w:rsidRDefault="00F31A8D" w:rsidP="00BE25FA">
      <w:pPr>
        <w:jc w:val="both"/>
        <w:rPr>
          <w:sz w:val="28"/>
          <w:szCs w:val="28"/>
        </w:rPr>
      </w:pPr>
    </w:p>
    <w:p w:rsidR="00F31A8D" w:rsidRDefault="00F31A8D" w:rsidP="00BE25FA">
      <w:pPr>
        <w:jc w:val="both"/>
        <w:rPr>
          <w:sz w:val="28"/>
          <w:szCs w:val="28"/>
        </w:rPr>
      </w:pPr>
    </w:p>
    <w:p w:rsidR="00BE25FA" w:rsidRPr="004D1FEC" w:rsidRDefault="00BE25FA" w:rsidP="00BE25FA">
      <w:pPr>
        <w:jc w:val="both"/>
      </w:pPr>
      <w:r w:rsidRPr="004D1FEC">
        <w:t>Разослано: администрации района, прокурору</w:t>
      </w:r>
      <w:r w:rsidR="009B3864" w:rsidRPr="004D1FEC">
        <w:t xml:space="preserve"> района.</w:t>
      </w: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DE7"/>
    <w:rsid w:val="00026EDE"/>
    <w:rsid w:val="00091903"/>
    <w:rsid w:val="00160B1A"/>
    <w:rsid w:val="00205176"/>
    <w:rsid w:val="00210E75"/>
    <w:rsid w:val="00242E4D"/>
    <w:rsid w:val="0027632A"/>
    <w:rsid w:val="002A33B9"/>
    <w:rsid w:val="00394DE7"/>
    <w:rsid w:val="003C67B5"/>
    <w:rsid w:val="003F43E1"/>
    <w:rsid w:val="00477992"/>
    <w:rsid w:val="004A3477"/>
    <w:rsid w:val="004D1FEC"/>
    <w:rsid w:val="004D25CC"/>
    <w:rsid w:val="00522D6D"/>
    <w:rsid w:val="005B2DF3"/>
    <w:rsid w:val="005F34E2"/>
    <w:rsid w:val="005F73B9"/>
    <w:rsid w:val="00631C8A"/>
    <w:rsid w:val="006F2A3E"/>
    <w:rsid w:val="00751005"/>
    <w:rsid w:val="007C3AA7"/>
    <w:rsid w:val="00827983"/>
    <w:rsid w:val="00852060"/>
    <w:rsid w:val="008E46EF"/>
    <w:rsid w:val="008E6407"/>
    <w:rsid w:val="00923924"/>
    <w:rsid w:val="00962480"/>
    <w:rsid w:val="0098307A"/>
    <w:rsid w:val="009B3864"/>
    <w:rsid w:val="009D2520"/>
    <w:rsid w:val="00B428F1"/>
    <w:rsid w:val="00BA099F"/>
    <w:rsid w:val="00BC6A01"/>
    <w:rsid w:val="00BE25FA"/>
    <w:rsid w:val="00D158FB"/>
    <w:rsid w:val="00D30A70"/>
    <w:rsid w:val="00DA1D93"/>
    <w:rsid w:val="00DB57BF"/>
    <w:rsid w:val="00E24988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2C32-2C33-4BE8-A45D-79A4EDAE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2016-11-01T10:32:00Z</cp:lastPrinted>
  <dcterms:created xsi:type="dcterms:W3CDTF">2014-10-30T04:38:00Z</dcterms:created>
  <dcterms:modified xsi:type="dcterms:W3CDTF">2016-11-08T04:45:00Z</dcterms:modified>
</cp:coreProperties>
</file>