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Default="00B43DF1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43DF1" w:rsidRDefault="00B43DF1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B43DF1" w:rsidRDefault="00B43DF1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ПРОЕКТ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Калининский сельсовет Ташлинского района Оренбургской области на 2022 год»</w:t>
      </w:r>
    </w:p>
    <w:p w:rsidR="00B43DF1" w:rsidRDefault="00B43DF1" w:rsidP="00D34935">
      <w:pPr>
        <w:rPr>
          <w:color w:val="000000"/>
          <w:sz w:val="28"/>
          <w:szCs w:val="28"/>
        </w:rPr>
      </w:pPr>
    </w:p>
    <w:p w:rsidR="00B43DF1" w:rsidRDefault="00B43DF1" w:rsidP="00D34935">
      <w:pPr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B43DF1" w:rsidRDefault="00B43DF1" w:rsidP="002127BE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212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43DF1" w:rsidRPr="00D34935" w:rsidRDefault="00B43DF1" w:rsidP="002127BE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2127BE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Тюрькина В.А.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</w:rPr>
      </w:pPr>
      <w:r>
        <w:rPr>
          <w:color w:val="000000"/>
        </w:rPr>
        <w:br w:type="page"/>
      </w:r>
    </w:p>
    <w:p w:rsidR="00B43DF1" w:rsidRDefault="00B43DF1" w:rsidP="002127BE">
      <w:pPr>
        <w:rPr>
          <w:color w:val="000000"/>
        </w:rPr>
      </w:pPr>
    </w:p>
    <w:p w:rsidR="00B43DF1" w:rsidRDefault="00B43DF1" w:rsidP="00D3493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43DF1" w:rsidRDefault="00B43DF1" w:rsidP="00D3493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B43DF1" w:rsidRDefault="00B43DF1" w:rsidP="00D34935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Калининский сельсовет Ташлинского района Оренбургской области</w:t>
      </w:r>
    </w:p>
    <w:p w:rsidR="00B43DF1" w:rsidRDefault="00B43DF1" w:rsidP="00D3493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__________  № </w:t>
      </w:r>
      <w:r w:rsidRPr="00542ACE">
        <w:rPr>
          <w:color w:val="000000"/>
          <w:sz w:val="28"/>
          <w:szCs w:val="28"/>
          <w:u w:val="single"/>
        </w:rPr>
        <w:t>__-п</w:t>
      </w:r>
      <w:r>
        <w:rPr>
          <w:color w:val="000000"/>
          <w:sz w:val="28"/>
          <w:szCs w:val="28"/>
        </w:rPr>
        <w:t>_</w:t>
      </w:r>
    </w:p>
    <w:p w:rsidR="00B43DF1" w:rsidRDefault="00B43DF1" w:rsidP="00D349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 xml:space="preserve">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127BE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127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127BE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контролируемого лица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B43DF1" w:rsidRDefault="00B43DF1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DF1" w:rsidRDefault="00B43DF1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B43DF1" w:rsidRDefault="00B43DF1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Default="00B43DF1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Тащлинского района Оренбургской области.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F1" w:rsidRDefault="00B43DF1" w:rsidP="002127BE">
      <w:r>
        <w:separator/>
      </w:r>
    </w:p>
  </w:endnote>
  <w:endnote w:type="continuationSeparator" w:id="0">
    <w:p w:rsidR="00B43DF1" w:rsidRDefault="00B43DF1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F1" w:rsidRDefault="00B43DF1" w:rsidP="002127BE">
      <w:r>
        <w:separator/>
      </w:r>
    </w:p>
  </w:footnote>
  <w:footnote w:type="continuationSeparator" w:id="0">
    <w:p w:rsidR="00B43DF1" w:rsidRDefault="00B43DF1" w:rsidP="002127BE">
      <w:r>
        <w:continuationSeparator/>
      </w:r>
    </w:p>
  </w:footnote>
  <w:footnote w:id="1">
    <w:p w:rsidR="00B43DF1" w:rsidRDefault="00B43DF1" w:rsidP="002127BE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2127BE"/>
    <w:rsid w:val="003848FC"/>
    <w:rsid w:val="00403D83"/>
    <w:rsid w:val="00542ACE"/>
    <w:rsid w:val="00547504"/>
    <w:rsid w:val="00907A6A"/>
    <w:rsid w:val="00AD3CAB"/>
    <w:rsid w:val="00B43DF1"/>
    <w:rsid w:val="00BF4BA3"/>
    <w:rsid w:val="00D3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6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2127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127BE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11</Pages>
  <Words>2496</Words>
  <Characters>14228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2</cp:revision>
  <dcterms:created xsi:type="dcterms:W3CDTF">2021-09-21T08:36:00Z</dcterms:created>
  <dcterms:modified xsi:type="dcterms:W3CDTF">2022-02-01T12:52:00Z</dcterms:modified>
</cp:coreProperties>
</file>